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1A2332"/>
          <w:sz w:val="26"/>
          <w:szCs w:val="26"/>
        </w:rPr>
        <w:t xml:space="preserve">Cybersecurity Executive Summary</w:t>
      </w:r>
    </w:p>
    <w:p>
      <w:pPr>
        <w:spacing w:after="100"/>
      </w:pPr>
      <w:r>
        <w:rPr>
          <w:rFonts w:ascii="Arial" w:cs="Arial" w:eastAsia="Arial" w:hAnsi="Arial"/>
          <w:color w:val="666666"/>
          <w:sz w:val="16"/>
          <w:szCs w:val="16"/>
        </w:rPr>
        <w:t xml:space="preserve">Reporting Period: [Month Year]  |  Prepared for: Board of Directors / Executive Leadership  |  Classification: Confidential</w:t>
      </w:r>
    </w:p>
    <w:p>
      <w:pPr>
        <w:pStyle w:val="Heading1"/>
      </w:pPr>
      <w:r>
        <w:t xml:space="preserve">Overall Security Posture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Overall Rating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Risk Level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Trend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Compliance Status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AE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[GREEN / AMBER / RED]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[LOW / MEDIUM / HIGH / CRITICAL]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[IMPROVING / STABLE / DECLINING]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[ON TRACK / AT RISK / NON-COMPLIANT]</w:t>
            </w:r>
          </w:p>
        </w:tc>
      </w:tr>
    </w:tbl>
    <w:p>
      <w:pPr>
        <w:pStyle w:val="Heading1"/>
      </w:pPr>
      <w:r>
        <w:t xml:space="preserve">Key Security Metrics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900"/>
        <w:gridCol w:w="1900"/>
        <w:gridCol w:w="1900"/>
        <w:gridCol w:w="190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Current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Previous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Open Critical/High Vulnerabilities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[Number]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[Number]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[Number]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[On Track / At Risk]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Mean Time to Patch (Critical)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[X days]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[X days]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[72 hours]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[On Track / At Risk]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Security Incidents (this period)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[Number]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[Number]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N/A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[Severity summary]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Phishing Simulation Click Rate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[X%]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[X%]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[&lt;5%]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[On Track / At Risk]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MFA Adoption Rate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[X%]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[X%]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[100%]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[On Track / At Risk]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Security Training Completion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[X%]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[X%]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[100%]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[On Track / At Risk]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Overdue Access Reviews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[Number]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[Number]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[0]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[On Track / At Risk]</w:t>
            </w:r>
          </w:p>
        </w:tc>
      </w:tr>
    </w:tbl>
    <w:p>
      <w:pPr>
        <w:pStyle w:val="Heading1"/>
      </w:pPr>
      <w:r>
        <w:t xml:space="preserve">Top 5 Security Risks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800"/>
        <w:gridCol w:w="1200"/>
        <w:gridCol w:w="1200"/>
        <w:gridCol w:w="2600"/>
        <w:gridCol w:w="24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Risk Description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Impact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Likelihood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Treatment Plan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1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[e.g., Ransomware attack via phishing]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[Critical]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[High]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[Endpoint detection deployment, phishing training]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[CISO]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2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[e.g., Third-party data breach]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[High]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[Medium]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[Vendor risk assessments, contract security clauses]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[IT Director]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3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[e.g., Cloud misconfiguration]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[High]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[Medium]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[Cloud security posture management tool]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[Cloud Architect]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4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[e.g., Insider threat / data exfiltration]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[High]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[Low]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[DLP implementation, access reviews]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[CISO]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5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[e.g., Unpatched legacy systems]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[Medium]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[High]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[Legacy system replacement roadmap]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[IT Director]</w:t>
            </w:r>
          </w:p>
        </w:tc>
      </w:tr>
    </w:tbl>
    <w:p>
      <w:pPr>
        <w:pStyle w:val="Heading1"/>
      </w:pPr>
      <w:r>
        <w:t xml:space="preserve">Notable Incidents This Period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400"/>
        <w:gridCol w:w="1200"/>
        <w:gridCol w:w="3400"/>
        <w:gridCol w:w="2400"/>
      </w:tblGrid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Incident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Severity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Resolution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Lessons Learned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[DD/MM]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[Brief description]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[Low/Med/High/Crit]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[How it was resolved, time to resolve]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[What changed as a result]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[DD/MM]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[Brief description]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[Low/Med/High/Crit]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[How it was resolved]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[What changed]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6666"/>
                <w:sz w:val="18"/>
                <w:szCs w:val="18"/>
              </w:rPr>
              <w:t xml:space="preserve">No additional incidents to report.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</w:pPr>
      <w:r>
        <w:t xml:space="preserve">Security Programme Initiatives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800"/>
        <w:gridCol w:w="1800"/>
        <w:gridCol w:w="1800"/>
        <w:gridCol w:w="24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Initiative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Due Date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Budget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[e.g., Endpoint detection rollout]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[On Track / Delayed / Complete]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[Date]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[$X,XXX]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[e.g., Security awareness programme]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[On Track / Delayed / Complete]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[Date]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[$X,XXX]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[e.g., ISO 27001 certification prep]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[On Track / Delayed / Complete]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[Date]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[$X,XXX]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[Name]</w:t>
            </w:r>
          </w:p>
        </w:tc>
      </w:tr>
    </w:tbl>
    <w:p>
      <w:pPr>
        <w:pStyle w:val="Heading1"/>
      </w:pPr>
      <w:r>
        <w:t xml:space="preserve">Decisions Required from the Board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18"/>
          <w:szCs w:val="18"/>
        </w:rPr>
        <w:t xml:space="preserve">[Decision 1: e.g., Approve $XX,XXX budget for endpoint detection platform deployment across all endpoints by Q2]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18"/>
          <w:szCs w:val="18"/>
        </w:rPr>
        <w:t xml:space="preserve">[Decision 2: e.g., Accept residual risk for legacy system X until replacement completes in Q3, with compensating controls documented]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18"/>
          <w:szCs w:val="18"/>
        </w:rPr>
        <w:t xml:space="preserve">[Decision 3: e.g., Approve updated Incident Response Policy with revised notification timelines]</w:t>
      </w:r>
    </w:p>
    <w:p>
      <w:pPr>
        <w:pStyle w:val="Heading1"/>
      </w:pPr>
      <w:r>
        <w:t xml:space="preserve">Next Period Priorities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18"/>
          <w:szCs w:val="18"/>
        </w:rPr>
        <w:t xml:space="preserve">[Priority 1: e.g., Complete vulnerability remediation for 12 critical findings from Q4 scan]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18"/>
          <w:szCs w:val="18"/>
        </w:rPr>
        <w:t xml:space="preserve">[Priority 2: e.g., Launch phishing simulation programme targeting departments with &gt;10% click rate]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18"/>
          <w:szCs w:val="18"/>
        </w:rPr>
        <w:t xml:space="preserve">[Priority 3: e.g., Complete third-party risk assessments for top 5 critical vendors]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18"/>
          <w:szCs w:val="18"/>
        </w:rPr>
        <w:t xml:space="preserve">[Priority 4: e.g., Tabletop exercise for ransomware incident response scenario]</w:t>
      </w:r>
    </w:p>
    <w:p>
      <w:pPr>
        <w:spacing w:before="300"/>
      </w:pPr>
      <w:r>
        <w:rPr>
          <w:rFonts w:ascii="Arial" w:cs="Arial" w:eastAsia="Arial" w:hAnsi="Arial"/>
          <w:b/>
          <w:bCs/>
          <w:color w:val="0F7B8A"/>
          <w:sz w:val="16"/>
          <w:szCs w:val="16"/>
        </w:rPr>
        <w:t xml:space="preserve">FREE TEMPLATE FROM RIDGELINE CYBER DEFENCE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This is a customisable template only. It is not legal advice. Organisations should seek qualified professional advice for their specific circumstances and jurisdiction.</w:t>
      </w:r>
    </w:p>
    <w:p>
      <w:r>
        <w:rPr>
          <w:rFonts w:ascii="Arial" w:cs="Arial" w:eastAsia="Arial" w:hAnsi="Arial"/>
          <w:color w:val="0F7B8A"/>
          <w:sz w:val="16"/>
          <w:szCs w:val="16"/>
        </w:rPr>
        <w:t xml:space="preserve">For complete GRC toolkits with risk registers, control mappings, and evidence trackers, visit ridgelinecyber.com</w:t>
      </w:r>
    </w:p>
    <w:sectPr>
      <w:headerReference w:type="default" r:id="rId6"/>
      <w:footerReference w:type="default" r:id="rId7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4"/>
        <w:szCs w:val="14"/>
      </w:rPr>
      <w:t xml:space="preserve">CONFIDENTIAL — Board Use Only  |  Prepared by [CISO / IT Director]  |  Page </w:t>
    </w:r>
    <w:r>
      <w:rPr>
        <w:rFonts w:ascii="Arial" w:cs="Arial" w:eastAsia="Arial" w:hAnsi="Arial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  <w:p>
    <w:pPr>
      <w:jc w:val="center"/>
    </w:pPr>
    <w:r>
      <w:rPr>
        <w:rFonts w:ascii="Arial" w:cs="Arial" w:eastAsia="Arial" w:hAnsi="Arial"/>
        <w:color w:val="0F7B8A"/>
        <w:sz w:val="12"/>
        <w:szCs w:val="12"/>
      </w:rPr>
      <w:t xml:space="preserve">Free template from RidgeLine Cyber Defence  |  ridgelinecyber.com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color w:val="1A2332"/>
        <w:sz w:val="16"/>
        <w:szCs w:val="16"/>
      </w:rPr>
      <w:t xml:space="preserve">[ORGANISATION NAME]</w:t>
    </w:r>
    <w:r>
      <w:rPr>
        <w:rFonts w:ascii="Arial" w:cs="Arial" w:eastAsia="Arial" w:hAnsi="Arial"/>
        <w:color w:val="666666"/>
        <w:sz w:val="14"/>
        <w:szCs w:val="14"/>
      </w:rPr>
      <w:t xml:space="preserve">    CYBERSECURITY STATUS REPORT    </w:t>
    </w:r>
    <w:r>
      <w:rPr>
        <w:rFonts w:ascii="Arial" w:cs="Arial" w:eastAsia="Arial" w:hAnsi="Arial"/>
        <w:color w:val="666666"/>
        <w:sz w:val="14"/>
        <w:szCs w:val="14"/>
      </w:rPr>
      <w:t xml:space="preserve">[MONTH YEAR]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00" w:after="100"/>
      <w:outlineLvl w:val="0"/>
    </w:pPr>
    <w:rPr>
      <w:rFonts w:ascii="Arial" w:cs="Arial" w:eastAsia="Arial" w:hAnsi="Arial"/>
      <w:b/>
      <w:bCs/>
      <w:color w:val="1A2332"/>
      <w:sz w:val="24"/>
      <w:szCs w:val="24"/>
    </w:rPr>
  </w:style>
  <w:style w:type="paragraph" w:styleId="Heading2">
    <w:name w:val="Heading 2"/>
    <w:basedOn w:val="Normal"/>
    <w:next w:val="Normal"/>
    <w:qFormat/>
    <w:pPr>
      <w:spacing w:before="160" w:after="80"/>
      <w:outlineLvl w:val="1"/>
    </w:pPr>
    <w:rPr>
      <w:rFonts w:ascii="Arial" w:cs="Arial" w:eastAsia="Arial" w:hAnsi="Arial"/>
      <w:b/>
      <w:bCs/>
      <w:color w:val="0F7B8A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2026-02-11T20:31:07.754Z</dcterms:created>
  <dcterms:modified xsi:type="dcterms:W3CDTF">2026-02-11T20:31:07.755Z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