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1A2332"/>
          <w:sz w:val="32"/>
          <w:szCs w:val="32"/>
        </w:rPr>
        <w:t xml:space="preserve">[ORGANISATION NAME]</w:t>
      </w:r>
    </w:p>
    <w:p>
      <w:pPr>
        <w:spacing w:after="40"/>
      </w:pPr>
      <w:r>
        <w:rPr>
          <w:rFonts w:ascii="Arial" w:cs="Arial" w:eastAsia="Arial" w:hAnsi="Arial"/>
          <w:b/>
          <w:bCs/>
          <w:color w:val="0F7B8A"/>
          <w:sz w:val="28"/>
          <w:szCs w:val="28"/>
        </w:rPr>
        <w:t xml:space="preserve">AI Acceptable Use Policy</w:t>
      </w:r>
    </w:p>
    <w:p>
      <w:pPr>
        <w:spacing w:after="200"/>
      </w:pPr>
      <w:r>
        <w:rPr>
          <w:rFonts w:ascii="Arial" w:cs="Arial" w:eastAsia="Arial" w:hAnsi="Arial"/>
          <w:i/>
          <w:iCs/>
          <w:color w:val="666666"/>
          <w:sz w:val="18"/>
          <w:szCs w:val="18"/>
        </w:rPr>
        <w:t xml:space="preserve">CONFIDENTIAL — Internal Use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Attribute</w:t>
            </w:r>
          </w:p>
        </w:tc>
        <w:tc>
          <w:tcPr>
            <w:tcW w:type="dxa" w:w="65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Document ID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[AI-POL-001]</w:t>
            </w:r>
          </w:p>
        </w:tc>
      </w:tr>
      <w:tr>
        <w:tc>
          <w:tcPr>
            <w:tcW w:type="dxa" w:w="28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[1.0]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Classification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Internal / Confidential</w:t>
            </w:r>
          </w:p>
        </w:tc>
      </w:tr>
      <w:tr>
        <w:tc>
          <w:tcPr>
            <w:tcW w:type="dxa" w:w="28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Effective Date</w:t>
            </w:r>
          </w:p>
        </w:tc>
        <w:tc>
          <w:tcPr>
            <w:tcW w:type="dxa" w:w="65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[DD Month YYYY]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[DD Month YYYY — recommend 6-monthly for AI policies]</w:t>
            </w:r>
          </w:p>
        </w:tc>
      </w:tr>
      <w:tr>
        <w:tc>
          <w:tcPr>
            <w:tcW w:type="dxa" w:w="28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Policy Owner</w:t>
            </w:r>
          </w:p>
        </w:tc>
        <w:tc>
          <w:tcPr>
            <w:tcW w:type="dxa" w:w="65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[CISO / CTO / Head of IT]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Approved By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[CEO / Board / Governance Committee]</w:t>
            </w:r>
          </w:p>
        </w:tc>
      </w:tr>
      <w:tr>
        <w:tc>
          <w:tcPr>
            <w:tcW w:type="dxa" w:w="28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Framework Mapping</w:t>
            </w:r>
          </w:p>
        </w:tc>
        <w:tc>
          <w:tcPr>
            <w:tcW w:type="dxa" w:w="65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NIST AI RMF 1.0 (GOVERN 1, MAP 1), NIST CSF 2.0 (GV.PO-01), OWASP LLM Top 10 2025, ISO 42001</w:t>
            </w:r>
          </w:p>
        </w:tc>
      </w:tr>
    </w:tbl>
    <w:p>
      <w:pPr>
        <w:spacing w:after="200"/>
      </w:pPr>
    </w:p>
    <w:p>
      <w:pPr>
        <w:pStyle w:val="Heading1"/>
      </w:pPr>
      <w:r>
        <w:t xml:space="preserve">1. Purpose</w:t>
      </w:r>
    </w:p>
    <w:p>
      <w:pPr>
        <w:spacing w:before="120" w:after="80"/>
      </w:pPr>
      <w:r>
        <w:rPr>
          <w:rFonts w:ascii="Arial" w:cs="Arial" w:eastAsia="Arial" w:hAnsi="Arial"/>
          <w:sz w:val="20"/>
          <w:szCs w:val="20"/>
        </w:rPr>
        <w:t xml:space="preserve">This policy establishes the acceptable use requirements for artificial intelligence (AI) systems, tools, and services across [Organisation Name]. It defines what AI tools are permitted, how they may be used, what data may be processed through AI systems, and the responsibilities of all personnel when interacting with AI technologies.</w:t>
      </w:r>
    </w:p>
    <w:p>
      <w:pPr>
        <w:spacing w:before="120" w:after="80"/>
      </w:pPr>
      <w:r>
        <w:rPr>
          <w:rFonts w:ascii="Arial" w:cs="Arial" w:eastAsia="Arial" w:hAnsi="Arial"/>
          <w:sz w:val="20"/>
          <w:szCs w:val="20"/>
        </w:rPr>
        <w:t xml:space="preserve">This policy applies to all AI systems including but not limited to: large language models (e.g., ChatGPT, Claude, Gemini, Copilot), image generation tools, code assistants, automated decision-making systems, AI-powered analytics platforms, and any third-party service that incorporates AI/ML capabilities.</w:t>
      </w:r>
    </w:p>
    <w:p>
      <w:pPr>
        <w:pStyle w:val="Heading1"/>
      </w:pPr>
      <w:r>
        <w:t xml:space="preserve">2. Scope</w:t>
      </w:r>
    </w:p>
    <w:p>
      <w:pPr>
        <w:spacing w:before="120" w:after="80"/>
      </w:pPr>
      <w:r>
        <w:rPr>
          <w:rFonts w:ascii="Arial" w:cs="Arial" w:eastAsia="Arial" w:hAnsi="Arial"/>
          <w:sz w:val="20"/>
          <w:szCs w:val="20"/>
        </w:rPr>
        <w:t xml:space="preserve">This policy applies to:</w:t>
      </w:r>
    </w:p>
    <w:p>
      <w:pPr>
        <w:pStyle w:val="ListParagraph"/>
        <w:numPr>
          <w:ilvl w:val="0"/>
          <w:numId w:val="2"/>
        </w:numPr>
      </w:pPr>
      <w:r>
        <w:t xml:space="preserve">All employees, contractors, consultants, and temporary staff</w:t>
      </w:r>
    </w:p>
    <w:p>
      <w:pPr>
        <w:pStyle w:val="ListParagraph"/>
        <w:numPr>
          <w:ilvl w:val="0"/>
          <w:numId w:val="2"/>
        </w:numPr>
      </w:pPr>
      <w:r>
        <w:t xml:space="preserve">All AI tools and services, whether organisation-provisioned or personally accessed for work purposes</w:t>
      </w:r>
    </w:p>
    <w:p>
      <w:pPr>
        <w:pStyle w:val="ListParagraph"/>
        <w:numPr>
          <w:ilvl w:val="0"/>
          <w:numId w:val="2"/>
        </w:numPr>
      </w:pPr>
      <w:r>
        <w:t xml:space="preserve">AI features embedded in existing software (e.g., Microsoft Copilot, Google Gemini in Workspace, Salesforce Einstein)</w:t>
      </w:r>
    </w:p>
    <w:p>
      <w:pPr>
        <w:pStyle w:val="ListParagraph"/>
        <w:numPr>
          <w:ilvl w:val="0"/>
          <w:numId w:val="2"/>
        </w:numPr>
      </w:pPr>
      <w:r>
        <w:t xml:space="preserve">Custom-built or internally deployed AI models and applications</w:t>
      </w:r>
    </w:p>
    <w:p>
      <w:pPr>
        <w:pStyle w:val="ListParagraph"/>
        <w:numPr>
          <w:ilvl w:val="0"/>
          <w:numId w:val="2"/>
        </w:numPr>
      </w:pPr>
      <w:r>
        <w:t xml:space="preserve">All devices including personal devices used under BYOD arrangements</w:t>
      </w:r>
    </w:p>
    <w:p>
      <w:pPr>
        <w:pStyle w:val="ListParagraph"/>
        <w:numPr>
          <w:ilvl w:val="0"/>
          <w:numId w:val="2"/>
        </w:numPr>
        <w:spacing w:after="120"/>
      </w:pPr>
      <w:r>
        <w:t xml:space="preserve">Third-party services that process organisational data through AI systems</w:t>
      </w:r>
    </w:p>
    <w:p>
      <w:pPr>
        <w:pStyle w:val="Heading1"/>
      </w:pPr>
      <w:r>
        <w:t xml:space="preserve">3. AI Tool Classification</w:t>
      </w:r>
    </w:p>
    <w:p>
      <w:pPr>
        <w:spacing w:before="120" w:after="80"/>
      </w:pPr>
      <w:r>
        <w:rPr>
          <w:rFonts w:ascii="Arial" w:cs="Arial" w:eastAsia="Arial" w:hAnsi="Arial"/>
          <w:sz w:val="20"/>
          <w:szCs w:val="20"/>
        </w:rPr>
        <w:t xml:space="preserve">All AI tools used within [Organisation Name] are classified into three tiers based on risk level, data access, and required approval.</w:t>
      </w:r>
    </w:p>
    <w:p>
      <w:pPr>
        <w:pStyle w:val="Heading2"/>
      </w:pPr>
      <w:r>
        <w:t xml:space="preserve">3.1 Tier 1: Approved for General Use</w:t>
      </w:r>
    </w:p>
    <w:p>
      <w:pPr>
        <w:spacing w:before="120" w:after="80"/>
      </w:pPr>
      <w:r>
        <w:rPr>
          <w:rFonts w:ascii="Arial" w:cs="Arial" w:eastAsia="Arial" w:hAnsi="Arial"/>
          <w:sz w:val="20"/>
          <w:szCs w:val="20"/>
        </w:rPr>
        <w:t xml:space="preserve">These tools have been assessed, approved, and may be used without additional authorisation for permitted data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Tool</w:t>
            </w:r>
          </w:p>
        </w:tc>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Approved Version</w:t>
            </w:r>
          </w:p>
        </w:tc>
        <w:tc>
          <w:tcPr>
            <w:tcW w:type="dxa" w:w="2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Permitted Data</w:t>
            </w:r>
          </w:p>
        </w:tc>
        <w:tc>
          <w:tcPr>
            <w:tcW w:type="dxa" w:w="21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Approved By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Microsoft Copilot]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[Enterprise]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[Internal, non-sensitive]</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[CISO]</w:t>
            </w:r>
          </w:p>
        </w:tc>
      </w:tr>
      <w:tr>
        <w:tc>
          <w:tcPr>
            <w:tcW w:type="dxa" w:w="24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[e.g., Grammarly Business]</w:t>
            </w:r>
          </w:p>
        </w:tc>
        <w:tc>
          <w:tcPr>
            <w:tcW w:type="dxa" w:w="24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[Business tier]</w:t>
            </w:r>
          </w:p>
        </w:tc>
        <w:tc>
          <w:tcPr>
            <w:tcW w:type="dxa" w:w="24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[Internal only]</w:t>
            </w:r>
          </w:p>
        </w:tc>
        <w:tc>
          <w:tcPr>
            <w:tcW w:type="dxa" w:w="21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[IT Director]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[Add tools as approved]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pStyle w:val="Heading2"/>
      </w:pPr>
      <w:r>
        <w:t xml:space="preserve">3.2 Tier 2: Approved with Restrictions</w:t>
      </w:r>
    </w:p>
    <w:p>
      <w:pPr>
        <w:spacing w:before="120" w:after="80"/>
      </w:pPr>
      <w:r>
        <w:rPr>
          <w:rFonts w:ascii="Arial" w:cs="Arial" w:eastAsia="Arial" w:hAnsi="Arial"/>
          <w:sz w:val="20"/>
          <w:szCs w:val="20"/>
        </w:rPr>
        <w:t xml:space="preserve">These tools may be used only for specific purposes and require manager approval and mandatory training before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760"/>
        <w:gridCol w:w="2200"/>
      </w:tblGrid>
      <w:tr>
        <w:tc>
          <w:tcPr>
            <w:tcW w:type="dxa" w:w="2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Tool</w:t>
            </w:r>
          </w:p>
        </w:tc>
        <w:tc>
          <w:tcPr>
            <w:tcW w:type="dxa" w:w="2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Restriction</w:t>
            </w:r>
          </w:p>
        </w:tc>
        <w:tc>
          <w:tcPr>
            <w:tcW w:type="dxa" w:w="2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Required Before Use</w:t>
            </w:r>
          </w:p>
        </w:tc>
        <w:tc>
          <w:tcPr>
            <w:tcW w:type="dxa" w:w="22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Approved By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ChatGPT Plus]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customer data, no PII, no source code]</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 awareness training + manager sign-off]</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[Department Head]</w:t>
            </w:r>
          </w:p>
        </w:tc>
      </w:tr>
      <w:tr>
        <w:tc>
          <w:tcPr>
            <w:tcW w:type="dxa" w:w="22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[Add tools as assessed]</w:t>
            </w:r>
          </w:p>
        </w:tc>
        <w:tc>
          <w:tcPr>
            <w:tcW w:type="dxa" w:w="22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
            </w:r>
          </w:p>
        </w:tc>
        <w:tc>
          <w:tcPr>
            <w:tcW w:type="dxa" w:w="27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
            </w:r>
          </w:p>
        </w:tc>
        <w:tc>
          <w:tcPr>
            <w:tcW w:type="dxa" w:w="22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
            </w:r>
          </w:p>
        </w:tc>
      </w:tr>
    </w:tbl>
    <w:p>
      <w:pPr>
        <w:pStyle w:val="Heading2"/>
      </w:pPr>
      <w:r>
        <w:t xml:space="preserve">3.3 Tier 3: Prohibited</w:t>
      </w:r>
    </w:p>
    <w:p>
      <w:pPr>
        <w:spacing w:before="120" w:after="80"/>
      </w:pPr>
      <w:r>
        <w:rPr>
          <w:rFonts w:ascii="Arial" w:cs="Arial" w:eastAsia="Arial" w:hAnsi="Arial"/>
          <w:sz w:val="20"/>
          <w:szCs w:val="20"/>
        </w:rPr>
        <w:t xml:space="preserve">These tools are not approved for any work use. Use of these tools with organisational data is a policy violation.</w:t>
      </w:r>
    </w:p>
    <w:p>
      <w:pPr>
        <w:pStyle w:val="ListParagraph"/>
        <w:numPr>
          <w:ilvl w:val="0"/>
          <w:numId w:val="2"/>
        </w:numPr>
      </w:pPr>
      <w:r>
        <w:t xml:space="preserve">Any AI tool not listed in Tier 1 or Tier 2 (default deny)</w:t>
      </w:r>
    </w:p>
    <w:p>
      <w:pPr>
        <w:pStyle w:val="ListParagraph"/>
        <w:numPr>
          <w:ilvl w:val="0"/>
          <w:numId w:val="2"/>
        </w:numPr>
      </w:pPr>
      <w:r>
        <w:t xml:space="preserve">Free-tier AI services that retain training rights over input data</w:t>
      </w:r>
    </w:p>
    <w:p>
      <w:pPr>
        <w:pStyle w:val="ListParagraph"/>
        <w:numPr>
          <w:ilvl w:val="0"/>
          <w:numId w:val="2"/>
        </w:numPr>
      </w:pPr>
      <w:r>
        <w:t xml:space="preserve">AI tools that do not provide enterprise data processing agreements</w:t>
      </w:r>
    </w:p>
    <w:p>
      <w:pPr>
        <w:pStyle w:val="ListParagraph"/>
        <w:numPr>
          <w:ilvl w:val="0"/>
          <w:numId w:val="2"/>
        </w:numPr>
      </w:pPr>
      <w:r>
        <w:t xml:space="preserve">Browser extensions with AI features that have not been security-assessed</w:t>
      </w:r>
    </w:p>
    <w:p>
      <w:pPr>
        <w:pStyle w:val="ListParagraph"/>
        <w:numPr>
          <w:ilvl w:val="0"/>
          <w:numId w:val="2"/>
        </w:numPr>
        <w:spacing w:after="120"/>
      </w:pPr>
      <w:r>
        <w:t xml:space="preserve">Open-source models deployed without IT Security review and approval</w:t>
      </w:r>
    </w:p>
    <w:p>
      <w:pPr>
        <w:spacing w:before="120" w:after="80"/>
      </w:pPr>
      <w:r>
        <w:rPr>
          <w:rFonts w:ascii="Arial" w:cs="Arial" w:eastAsia="Arial" w:hAnsi="Arial"/>
          <w:sz w:val="20"/>
          <w:szCs w:val="20"/>
        </w:rPr>
        <w:t xml:space="preserve">Personnel who wish to use an AI tool not currently classified must submit an AI Tool Assessment Request (see Section 9) before use.</w:t>
      </w:r>
    </w:p>
    <w:p>
      <w:pPr>
        <w:pStyle w:val="Heading1"/>
      </w:pPr>
      <w:r>
        <w:t xml:space="preserve">4. Data Handling Requirements</w:t>
      </w:r>
    </w:p>
    <w:p>
      <w:pPr>
        <w:spacing w:before="120" w:after="80"/>
      </w:pPr>
      <w:r>
        <w:rPr>
          <w:rFonts w:ascii="Arial" w:cs="Arial" w:eastAsia="Arial" w:hAnsi="Arial"/>
          <w:sz w:val="20"/>
          <w:szCs w:val="20"/>
        </w:rPr>
        <w:t xml:space="preserve">The following data handling rules apply to all AI tool interactions, regardless of tier classification.</w:t>
      </w:r>
    </w:p>
    <w:p>
      <w:pPr>
        <w:pStyle w:val="Heading2"/>
      </w:pPr>
      <w:r>
        <w:t xml:space="preserve">4.1 Data Prohibited from AI Processing</w:t>
      </w:r>
    </w:p>
    <w:p>
      <w:pPr>
        <w:spacing w:before="120" w:after="80"/>
      </w:pPr>
      <w:r>
        <w:rPr>
          <w:rFonts w:ascii="Arial" w:cs="Arial" w:eastAsia="Arial" w:hAnsi="Arial"/>
          <w:sz w:val="20"/>
          <w:szCs w:val="20"/>
        </w:rPr>
        <w:t xml:space="preserve">The following data types must never be entered into any AI system, including Tier 1 approved tools, unless a specific Data Protection Impact Assessment (DPIA) has been completed and approved:</w:t>
      </w:r>
    </w:p>
    <w:p>
      <w:pPr>
        <w:pStyle w:val="ListParagraph"/>
        <w:numPr>
          <w:ilvl w:val="0"/>
          <w:numId w:val="2"/>
        </w:numPr>
      </w:pPr>
      <w:r>
        <w:t xml:space="preserve">Personally Identifiable Information (PII): names, addresses, phone numbers, national ID numbers, dates of birth</w:t>
      </w:r>
    </w:p>
    <w:p>
      <w:pPr>
        <w:pStyle w:val="ListParagraph"/>
        <w:numPr>
          <w:ilvl w:val="0"/>
          <w:numId w:val="2"/>
        </w:numPr>
      </w:pPr>
      <w:r>
        <w:t xml:space="preserve">Protected Health Information (PHI) or medical records</w:t>
      </w:r>
    </w:p>
    <w:p>
      <w:pPr>
        <w:pStyle w:val="ListParagraph"/>
        <w:numPr>
          <w:ilvl w:val="0"/>
          <w:numId w:val="2"/>
        </w:numPr>
      </w:pPr>
      <w:r>
        <w:t xml:space="preserve">Financial account numbers, payment card data, or banking information</w:t>
      </w:r>
    </w:p>
    <w:p>
      <w:pPr>
        <w:pStyle w:val="ListParagraph"/>
        <w:numPr>
          <w:ilvl w:val="0"/>
          <w:numId w:val="2"/>
        </w:numPr>
      </w:pPr>
      <w:r>
        <w:t xml:space="preserve">Authentication credentials: passwords, API keys, tokens, certificates, private keys</w:t>
      </w:r>
    </w:p>
    <w:p>
      <w:pPr>
        <w:pStyle w:val="ListParagraph"/>
        <w:numPr>
          <w:ilvl w:val="0"/>
          <w:numId w:val="2"/>
        </w:numPr>
      </w:pPr>
      <w:r>
        <w:t xml:space="preserve">Source code classified as Confidential or above</w:t>
      </w:r>
    </w:p>
    <w:p>
      <w:pPr>
        <w:pStyle w:val="ListParagraph"/>
        <w:numPr>
          <w:ilvl w:val="0"/>
          <w:numId w:val="2"/>
        </w:numPr>
      </w:pPr>
      <w:r>
        <w:t xml:space="preserve">Legal privileged communications or pending litigation materials</w:t>
      </w:r>
    </w:p>
    <w:p>
      <w:pPr>
        <w:pStyle w:val="ListParagraph"/>
        <w:numPr>
          <w:ilvl w:val="0"/>
          <w:numId w:val="2"/>
        </w:numPr>
      </w:pPr>
      <w:r>
        <w:t xml:space="preserve">Board materials, M&amp;A information, or material non-public information</w:t>
      </w:r>
    </w:p>
    <w:p>
      <w:pPr>
        <w:pStyle w:val="ListParagraph"/>
        <w:numPr>
          <w:ilvl w:val="0"/>
          <w:numId w:val="2"/>
        </w:numPr>
      </w:pPr>
      <w:r>
        <w:t xml:space="preserve">Customer data beyond what is classified as Public</w:t>
      </w:r>
    </w:p>
    <w:p>
      <w:pPr>
        <w:pStyle w:val="ListParagraph"/>
        <w:numPr>
          <w:ilvl w:val="0"/>
          <w:numId w:val="2"/>
        </w:numPr>
        <w:spacing w:after="120"/>
      </w:pPr>
      <w:r>
        <w:t xml:space="preserve">Security configurations, vulnerability reports, penetration test results, or incident details</w:t>
      </w:r>
    </w:p>
    <w:p>
      <w:pPr>
        <w:pStyle w:val="Heading2"/>
      </w:pPr>
      <w:r>
        <w:t xml:space="preserve">4.2 Data Permitted for AI Processing</w:t>
      </w:r>
    </w:p>
    <w:p>
      <w:pPr>
        <w:pStyle w:val="ListParagraph"/>
        <w:numPr>
          <w:ilvl w:val="0"/>
          <w:numId w:val="2"/>
        </w:numPr>
      </w:pPr>
      <w:r>
        <w:t xml:space="preserve">Publicly available information</w:t>
      </w:r>
    </w:p>
    <w:p>
      <w:pPr>
        <w:pStyle w:val="ListParagraph"/>
        <w:numPr>
          <w:ilvl w:val="0"/>
          <w:numId w:val="2"/>
        </w:numPr>
      </w:pPr>
      <w:r>
        <w:t xml:space="preserve">Internal process documentation (non-sensitive)</w:t>
      </w:r>
    </w:p>
    <w:p>
      <w:pPr>
        <w:pStyle w:val="ListParagraph"/>
        <w:numPr>
          <w:ilvl w:val="0"/>
          <w:numId w:val="2"/>
        </w:numPr>
      </w:pPr>
      <w:r>
        <w:t xml:space="preserve">Draft marketing or communications content</w:t>
      </w:r>
    </w:p>
    <w:p>
      <w:pPr>
        <w:pStyle w:val="ListParagraph"/>
        <w:numPr>
          <w:ilvl w:val="0"/>
          <w:numId w:val="2"/>
        </w:numPr>
      </w:pPr>
      <w:r>
        <w:t xml:space="preserve">De-identified or synthetic data</w:t>
      </w:r>
    </w:p>
    <w:p>
      <w:pPr>
        <w:pStyle w:val="ListParagraph"/>
        <w:numPr>
          <w:ilvl w:val="0"/>
          <w:numId w:val="2"/>
        </w:numPr>
      </w:pPr>
      <w:r>
        <w:t xml:space="preserve">General research and analysis queries using no organisational data</w:t>
      </w:r>
    </w:p>
    <w:p>
      <w:pPr>
        <w:pStyle w:val="ListParagraph"/>
        <w:numPr>
          <w:ilvl w:val="0"/>
          <w:numId w:val="2"/>
        </w:numPr>
        <w:spacing w:after="120"/>
      </w:pPr>
      <w:r>
        <w:t xml:space="preserve">Code snippets classified as Internal or below (with no embedded secrets)</w:t>
      </w:r>
    </w:p>
    <w:p>
      <w:pPr>
        <w:pStyle w:val="Heading2"/>
      </w:pPr>
      <w:r>
        <w:t xml:space="preserve">4.3 The Screenshot / Copy-Paste Rule</w:t>
      </w:r>
    </w:p>
    <w:p>
      <w:pPr>
        <w:spacing w:before="120" w:after="80"/>
      </w:pPr>
      <w:r>
        <w:rPr>
          <w:rFonts w:ascii="Arial" w:cs="Arial" w:eastAsia="Arial" w:hAnsi="Arial"/>
          <w:sz w:val="20"/>
          <w:szCs w:val="20"/>
        </w:rPr>
        <w:t xml:space="preserve">Before pasting, uploading, or typing any content into an AI tool, personnel must ask: "Would I be comfortable if this content appeared publicly on the internet?" If the answer is no, the content must not be entered into the AI tool.</w:t>
      </w:r>
    </w:p>
    <w:p>
      <w:pPr>
        <w:pStyle w:val="Heading1"/>
      </w:pPr>
      <w:r>
        <w:t xml:space="preserve">5. Permitted and Prohibited Uses</w:t>
      </w:r>
    </w:p>
    <w:p>
      <w:pPr>
        <w:pStyle w:val="Heading2"/>
      </w:pPr>
      <w:r>
        <w:t xml:space="preserve">5.1 Permitted Uses</w:t>
      </w:r>
    </w:p>
    <w:p>
      <w:pPr>
        <w:pStyle w:val="ListParagraph"/>
        <w:numPr>
          <w:ilvl w:val="0"/>
          <w:numId w:val="2"/>
        </w:numPr>
      </w:pPr>
      <w:r>
        <w:t xml:space="preserve">Drafting and editing internal communications, reports, and documentation</w:t>
      </w:r>
    </w:p>
    <w:p>
      <w:pPr>
        <w:pStyle w:val="ListParagraph"/>
        <w:numPr>
          <w:ilvl w:val="0"/>
          <w:numId w:val="2"/>
        </w:numPr>
      </w:pPr>
      <w:r>
        <w:t xml:space="preserve">Research and summarisation of publicly available information</w:t>
      </w:r>
    </w:p>
    <w:p>
      <w:pPr>
        <w:pStyle w:val="ListParagraph"/>
        <w:numPr>
          <w:ilvl w:val="0"/>
          <w:numId w:val="2"/>
        </w:numPr>
      </w:pPr>
      <w:r>
        <w:t xml:space="preserve">Code generation, debugging, and documentation for non-sensitive codebases</w:t>
      </w:r>
    </w:p>
    <w:p>
      <w:pPr>
        <w:pStyle w:val="ListParagraph"/>
        <w:numPr>
          <w:ilvl w:val="0"/>
          <w:numId w:val="2"/>
        </w:numPr>
      </w:pPr>
      <w:r>
        <w:t xml:space="preserve">Data analysis using de-identified or synthetic datasets</w:t>
      </w:r>
    </w:p>
    <w:p>
      <w:pPr>
        <w:pStyle w:val="ListParagraph"/>
        <w:numPr>
          <w:ilvl w:val="0"/>
          <w:numId w:val="2"/>
        </w:numPr>
      </w:pPr>
      <w:r>
        <w:t xml:space="preserve">Translation and localisation of public-facing content</w:t>
      </w:r>
    </w:p>
    <w:p>
      <w:pPr>
        <w:pStyle w:val="ListParagraph"/>
        <w:numPr>
          <w:ilvl w:val="0"/>
          <w:numId w:val="2"/>
        </w:numPr>
        <w:spacing w:after="120"/>
      </w:pPr>
      <w:r>
        <w:t xml:space="preserve">Training material development and learning support</w:t>
      </w:r>
    </w:p>
    <w:p>
      <w:pPr>
        <w:pStyle w:val="Heading2"/>
      </w:pPr>
      <w:r>
        <w:t xml:space="preserve">5.2 Prohibited Uses</w:t>
      </w:r>
    </w:p>
    <w:p>
      <w:pPr>
        <w:pStyle w:val="ListParagraph"/>
        <w:numPr>
          <w:ilvl w:val="0"/>
          <w:numId w:val="2"/>
        </w:numPr>
      </w:pPr>
      <w:r>
        <w:t xml:space="preserve">Using AI outputs as final decisions for hiring, termination, performance evaluation, or disciplinary actions without human review</w:t>
      </w:r>
    </w:p>
    <w:p>
      <w:pPr>
        <w:pStyle w:val="ListParagraph"/>
        <w:numPr>
          <w:ilvl w:val="0"/>
          <w:numId w:val="2"/>
        </w:numPr>
      </w:pPr>
      <w:r>
        <w:t xml:space="preserve">Submitting AI-generated content as original work to clients, regulators, or courts without disclosure</w:t>
      </w:r>
    </w:p>
    <w:p>
      <w:pPr>
        <w:pStyle w:val="ListParagraph"/>
        <w:numPr>
          <w:ilvl w:val="0"/>
          <w:numId w:val="2"/>
        </w:numPr>
      </w:pPr>
      <w:r>
        <w:t xml:space="preserve">Using AI to generate or modify financial statements, audit evidence, or regulatory filings</w:t>
      </w:r>
    </w:p>
    <w:p>
      <w:pPr>
        <w:pStyle w:val="ListParagraph"/>
        <w:numPr>
          <w:ilvl w:val="0"/>
          <w:numId w:val="2"/>
        </w:numPr>
      </w:pPr>
      <w:r>
        <w:t xml:space="preserve">Bypassing security controls, generating exploit code, or social engineering content</w:t>
      </w:r>
    </w:p>
    <w:p>
      <w:pPr>
        <w:pStyle w:val="ListParagraph"/>
        <w:numPr>
          <w:ilvl w:val="0"/>
          <w:numId w:val="2"/>
        </w:numPr>
      </w:pPr>
      <w:r>
        <w:t xml:space="preserve">Creating deepfakes, synthetic media of real individuals, or deceptive content</w:t>
      </w:r>
    </w:p>
    <w:p>
      <w:pPr>
        <w:pStyle w:val="ListParagraph"/>
        <w:numPr>
          <w:ilvl w:val="0"/>
          <w:numId w:val="2"/>
        </w:numPr>
      </w:pPr>
      <w:r>
        <w:t xml:space="preserve">Using personal AI accounts to process any organisational data</w:t>
      </w:r>
    </w:p>
    <w:p>
      <w:pPr>
        <w:pStyle w:val="ListParagraph"/>
        <w:numPr>
          <w:ilvl w:val="0"/>
          <w:numId w:val="2"/>
        </w:numPr>
        <w:spacing w:after="120"/>
      </w:pPr>
      <w:r>
        <w:t xml:space="preserve">Disabling, circumventing, or manipulating AI safety filters or content moderation</w:t>
      </w:r>
    </w:p>
    <w:p>
      <w:pPr>
        <w:pStyle w:val="Heading1"/>
      </w:pPr>
      <w:r>
        <w:t xml:space="preserve">6. Output Verification and Human Oversight</w:t>
      </w:r>
    </w:p>
    <w:p>
      <w:pPr>
        <w:spacing w:before="120" w:after="80"/>
      </w:pPr>
      <w:r>
        <w:rPr>
          <w:rFonts w:ascii="Arial" w:cs="Arial" w:eastAsia="Arial" w:hAnsi="Arial"/>
          <w:sz w:val="20"/>
          <w:szCs w:val="20"/>
        </w:rPr>
        <w:t xml:space="preserve">All AI-generated outputs must be treated as drafts requiring human verification before use. Personnel are responsible for:</w:t>
      </w:r>
    </w:p>
    <w:p>
      <w:pPr>
        <w:pStyle w:val="ListParagraph"/>
        <w:numPr>
          <w:ilvl w:val="0"/>
          <w:numId w:val="2"/>
        </w:numPr>
      </w:pPr>
      <w:r>
        <w:t xml:space="preserve">Accuracy: Verify all facts, figures, citations, and references. AI systems hallucinate.</w:t>
      </w:r>
    </w:p>
    <w:p>
      <w:pPr>
        <w:pStyle w:val="ListParagraph"/>
        <w:numPr>
          <w:ilvl w:val="0"/>
          <w:numId w:val="2"/>
        </w:numPr>
      </w:pPr>
      <w:r>
        <w:t xml:space="preserve">Bias: Review outputs for discriminatory, biased, or culturally inappropriate content</w:t>
      </w:r>
    </w:p>
    <w:p>
      <w:pPr>
        <w:pStyle w:val="ListParagraph"/>
        <w:numPr>
          <w:ilvl w:val="0"/>
          <w:numId w:val="2"/>
        </w:numPr>
      </w:pPr>
      <w:r>
        <w:t xml:space="preserve">Intellectual property: Ensure outputs do not infringe copyright or contain plagiarised material</w:t>
      </w:r>
    </w:p>
    <w:p>
      <w:pPr>
        <w:pStyle w:val="ListParagraph"/>
        <w:numPr>
          <w:ilvl w:val="0"/>
          <w:numId w:val="2"/>
        </w:numPr>
      </w:pPr>
      <w:r>
        <w:t xml:space="preserve">Appropriateness: Confirm the output is suitable for its intended audience and purpose</w:t>
      </w:r>
    </w:p>
    <w:p>
      <w:pPr>
        <w:pStyle w:val="ListParagraph"/>
        <w:numPr>
          <w:ilvl w:val="0"/>
          <w:numId w:val="2"/>
        </w:numPr>
        <w:spacing w:after="120"/>
      </w:pPr>
      <w:r>
        <w:t xml:space="preserve">Confidentiality: Check that AI has not embedded sensitive data from training into its response</w:t>
      </w:r>
    </w:p>
    <w:p>
      <w:pPr>
        <w:spacing w:before="120" w:after="80"/>
      </w:pPr>
      <w:r>
        <w:rPr>
          <w:rFonts w:ascii="Arial" w:cs="Arial" w:eastAsia="Arial" w:hAnsi="Arial"/>
          <w:sz w:val="20"/>
          <w:szCs w:val="20"/>
        </w:rPr>
        <w:t xml:space="preserve">The person who uses the AI tool is accountable for the output, not the AI system. "The AI generated it" is not an acceptable defence for errors, omissions, or policy violations.</w:t>
      </w:r>
    </w:p>
    <w:p>
      <w:pPr>
        <w:pStyle w:val="Heading1"/>
      </w:pPr>
      <w:r>
        <w:t xml:space="preserve">7. Security Requirements</w:t>
      </w:r>
    </w:p>
    <w:p>
      <w:pPr>
        <w:pStyle w:val="Heading2"/>
      </w:pPr>
      <w:r>
        <w:t xml:space="preserve">7.1 Account Security</w:t>
      </w:r>
    </w:p>
    <w:p>
      <w:pPr>
        <w:pStyle w:val="ListParagraph"/>
        <w:numPr>
          <w:ilvl w:val="0"/>
          <w:numId w:val="2"/>
        </w:numPr>
      </w:pPr>
      <w:r>
        <w:t xml:space="preserve">AI tools must be accessed using organisation-provisioned accounts where available</w:t>
      </w:r>
    </w:p>
    <w:p>
      <w:pPr>
        <w:pStyle w:val="ListParagraph"/>
        <w:numPr>
          <w:ilvl w:val="0"/>
          <w:numId w:val="2"/>
        </w:numPr>
      </w:pPr>
      <w:r>
        <w:t xml:space="preserve">Multi-factor authentication (MFA) must be enabled on all AI service accounts</w:t>
      </w:r>
    </w:p>
    <w:p>
      <w:pPr>
        <w:pStyle w:val="ListParagraph"/>
        <w:numPr>
          <w:ilvl w:val="0"/>
          <w:numId w:val="2"/>
        </w:numPr>
      </w:pPr>
      <w:r>
        <w:t xml:space="preserve">Shared accounts for AI services are prohibited</w:t>
      </w:r>
    </w:p>
    <w:p>
      <w:pPr>
        <w:pStyle w:val="ListParagraph"/>
        <w:numPr>
          <w:ilvl w:val="0"/>
          <w:numId w:val="2"/>
        </w:numPr>
        <w:spacing w:after="120"/>
      </w:pPr>
      <w:r>
        <w:t xml:space="preserve">Session logs and conversation history must not be disabled unless approved by IT Security</w:t>
      </w:r>
    </w:p>
    <w:p>
      <w:pPr>
        <w:pStyle w:val="Heading2"/>
      </w:pPr>
      <w:r>
        <w:t xml:space="preserve">7.2 Data Training and Retention</w:t>
      </w:r>
    </w:p>
    <w:p>
      <w:pPr>
        <w:pStyle w:val="ListParagraph"/>
        <w:numPr>
          <w:ilvl w:val="0"/>
          <w:numId w:val="2"/>
        </w:numPr>
      </w:pPr>
      <w:r>
        <w:t xml:space="preserve">Organisation data must not be used to train third-party AI models. Opt-out of training data sharing on all platforms where available.</w:t>
      </w:r>
    </w:p>
    <w:p>
      <w:pPr>
        <w:pStyle w:val="ListParagraph"/>
        <w:numPr>
          <w:ilvl w:val="0"/>
          <w:numId w:val="2"/>
        </w:numPr>
      </w:pPr>
      <w:r>
        <w:t xml:space="preserve">Conversation history retention settings must be configured per IT Security guidance</w:t>
      </w:r>
    </w:p>
    <w:p>
      <w:pPr>
        <w:pStyle w:val="ListParagraph"/>
        <w:numPr>
          <w:ilvl w:val="0"/>
          <w:numId w:val="2"/>
        </w:numPr>
        <w:spacing w:after="120"/>
      </w:pPr>
      <w:r>
        <w:t xml:space="preserve">Data Processing Agreements (DPAs) must be in place with all AI vendors before processing Internal or higher-classified data</w:t>
      </w:r>
    </w:p>
    <w:p>
      <w:pPr>
        <w:pStyle w:val="Heading2"/>
      </w:pPr>
      <w:r>
        <w:t xml:space="preserve">7.3 Prompt Injection and Adversarial Input Awareness</w:t>
      </w:r>
    </w:p>
    <w:p>
      <w:pPr>
        <w:spacing w:before="120" w:after="80"/>
      </w:pPr>
      <w:r>
        <w:rPr>
          <w:rFonts w:ascii="Arial" w:cs="Arial" w:eastAsia="Arial" w:hAnsi="Arial"/>
          <w:sz w:val="20"/>
          <w:szCs w:val="20"/>
        </w:rPr>
        <w:t xml:space="preserve">Personnel must be aware that AI systems are vulnerable to prompt injection attacks. Do not:</w:t>
      </w:r>
    </w:p>
    <w:p>
      <w:pPr>
        <w:pStyle w:val="ListParagraph"/>
        <w:numPr>
          <w:ilvl w:val="0"/>
          <w:numId w:val="2"/>
        </w:numPr>
      </w:pPr>
      <w:r>
        <w:t xml:space="preserve">Paste untrusted content (e.g., emails from unknown senders, web content) directly into AI prompts without sanitisation</w:t>
      </w:r>
    </w:p>
    <w:p>
      <w:pPr>
        <w:pStyle w:val="ListParagraph"/>
        <w:numPr>
          <w:ilvl w:val="0"/>
          <w:numId w:val="2"/>
        </w:numPr>
      </w:pPr>
      <w:r>
        <w:t xml:space="preserve">Trust AI-generated code without security review, especially code that handles authentication, encryption, or data access</w:t>
      </w:r>
    </w:p>
    <w:p>
      <w:pPr>
        <w:pStyle w:val="ListParagraph"/>
        <w:numPr>
          <w:ilvl w:val="0"/>
          <w:numId w:val="2"/>
        </w:numPr>
        <w:spacing w:after="120"/>
      </w:pPr>
      <w:r>
        <w:t xml:space="preserve">Deploy AI-generated scripts into production environments without testing in a sandboxed environment first</w:t>
      </w:r>
    </w:p>
    <w:p>
      <w:pPr>
        <w:pStyle w:val="Heading1"/>
      </w:pPr>
      <w:r>
        <w:t xml:space="preserve">8. Roles and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Role</w:t>
            </w:r>
          </w:p>
        </w:tc>
        <w:tc>
          <w:tcPr>
            <w:tcW w:type="dxa" w:w="67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Responsibilities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All Personnel</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Comply with this policy. Verify AI outputs. Report policy violations. Complete AI awareness training. Only use approved tools.</w:t>
            </w:r>
          </w:p>
        </w:tc>
      </w:tr>
      <w:tr>
        <w:tc>
          <w:tcPr>
            <w:tcW w:type="dxa" w:w="26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Department Managers</w:t>
            </w:r>
          </w:p>
        </w:tc>
        <w:tc>
          <w:tcPr>
            <w:tcW w:type="dxa" w:w="67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Approve Tier 2 tool use for team members. Monitor compliance. Escalate shadow AI concerns. Ensure team completes training.</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IT Security / CISO</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Assess and classify AI tools. Maintain approved tools register. Configure security controls. Review AI-related incidents. Update policy as threats evolve.</w:t>
            </w:r>
          </w:p>
        </w:tc>
      </w:tr>
      <w:tr>
        <w:tc>
          <w:tcPr>
            <w:tcW w:type="dxa" w:w="26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Data Protection Officer</w:t>
            </w:r>
          </w:p>
        </w:tc>
        <w:tc>
          <w:tcPr>
            <w:tcW w:type="dxa" w:w="67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Review DPIAs for AI tool deployments. Ensure privacy compliance. Advise on data handling classifications for AI use.</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Procurement</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Ensure AI vendor contracts include DPAs, training opt-out clauses, and security requirements before purchase.</w:t>
            </w:r>
          </w:p>
        </w:tc>
      </w:tr>
      <w:tr>
        <w:tc>
          <w:tcPr>
            <w:tcW w:type="dxa" w:w="26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Executive Leadership</w:t>
            </w:r>
          </w:p>
        </w:tc>
        <w:tc>
          <w:tcPr>
            <w:tcW w:type="dxa" w:w="67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Approve this policy. Allocate resources for AI governance. Set risk appetite for AI adoption.</w:t>
            </w:r>
          </w:p>
        </w:tc>
      </w:tr>
    </w:tbl>
    <w:p>
      <w:pPr>
        <w:pStyle w:val="Heading1"/>
      </w:pPr>
      <w:r>
        <w:t xml:space="preserve">9. AI Tool Assessment Request Process</w:t>
      </w:r>
    </w:p>
    <w:p>
      <w:pPr>
        <w:spacing w:before="120" w:after="80"/>
      </w:pPr>
      <w:r>
        <w:rPr>
          <w:rFonts w:ascii="Arial" w:cs="Arial" w:eastAsia="Arial" w:hAnsi="Arial"/>
          <w:sz w:val="20"/>
          <w:szCs w:val="20"/>
        </w:rPr>
        <w:t xml:space="preserve">Personnel who wish to use an AI tool not currently approved must submit a request to IT Security. The request must include:</w:t>
      </w:r>
    </w:p>
    <w:p>
      <w:pPr>
        <w:pStyle w:val="ListParagraph"/>
        <w:numPr>
          <w:ilvl w:val="0"/>
          <w:numId w:val="3"/>
        </w:numPr>
      </w:pPr>
      <w:r>
        <w:t xml:space="preserve">Tool name, vendor, and URL</w:t>
      </w:r>
    </w:p>
    <w:p>
      <w:pPr>
        <w:pStyle w:val="ListParagraph"/>
        <w:numPr>
          <w:ilvl w:val="0"/>
          <w:numId w:val="3"/>
        </w:numPr>
      </w:pPr>
      <w:r>
        <w:t xml:space="preserve">Business justification and intended use case</w:t>
      </w:r>
    </w:p>
    <w:p>
      <w:pPr>
        <w:pStyle w:val="ListParagraph"/>
        <w:numPr>
          <w:ilvl w:val="0"/>
          <w:numId w:val="3"/>
        </w:numPr>
      </w:pPr>
      <w:r>
        <w:t xml:space="preserve">Data types that will be processed (with classification levels)</w:t>
      </w:r>
    </w:p>
    <w:p>
      <w:pPr>
        <w:pStyle w:val="ListParagraph"/>
        <w:numPr>
          <w:ilvl w:val="0"/>
          <w:numId w:val="3"/>
        </w:numPr>
      </w:pPr>
      <w:r>
        <w:t xml:space="preserve">Vendor privacy policy and terms of service (specifically: training data usage, data retention, data location)</w:t>
      </w:r>
    </w:p>
    <w:p>
      <w:pPr>
        <w:pStyle w:val="ListParagraph"/>
        <w:numPr>
          <w:ilvl w:val="0"/>
          <w:numId w:val="3"/>
        </w:numPr>
      </w:pPr>
      <w:r>
        <w:t xml:space="preserve">Whether the tool offers enterprise/business tier with DPA</w:t>
      </w:r>
    </w:p>
    <w:p>
      <w:pPr>
        <w:pStyle w:val="ListParagraph"/>
        <w:numPr>
          <w:ilvl w:val="0"/>
          <w:numId w:val="3"/>
        </w:numPr>
      </w:pPr>
      <w:r>
        <w:t xml:space="preserve">Alternative approved tools considered and why they are insufficient</w:t>
      </w:r>
    </w:p>
    <w:p>
      <w:pPr>
        <w:spacing w:before="120" w:after="80"/>
      </w:pPr>
      <w:r>
        <w:rPr>
          <w:rFonts w:ascii="Arial" w:cs="Arial" w:eastAsia="Arial" w:hAnsi="Arial"/>
          <w:sz w:val="20"/>
          <w:szCs w:val="20"/>
        </w:rPr>
        <w:t xml:space="preserve">IT Security will assess the tool within [10] business days and communicate a classification decision. Until a decision is communicated, the tool must not be used with organisational data.</w:t>
      </w:r>
    </w:p>
    <w:p>
      <w:pPr>
        <w:pStyle w:val="Heading1"/>
      </w:pPr>
      <w:r>
        <w:t xml:space="preserve">10. Incident Reporting</w:t>
      </w:r>
    </w:p>
    <w:p>
      <w:pPr>
        <w:spacing w:before="120" w:after="80"/>
      </w:pPr>
      <w:r>
        <w:rPr>
          <w:rFonts w:ascii="Arial" w:cs="Arial" w:eastAsia="Arial" w:hAnsi="Arial"/>
          <w:sz w:val="20"/>
          <w:szCs w:val="20"/>
        </w:rPr>
        <w:t xml:space="preserve">The following events must be reported to IT Security immediately via [incident reporting channel / email]:</w:t>
      </w:r>
    </w:p>
    <w:p>
      <w:pPr>
        <w:pStyle w:val="ListParagraph"/>
        <w:numPr>
          <w:ilvl w:val="0"/>
          <w:numId w:val="2"/>
        </w:numPr>
      </w:pPr>
      <w:r>
        <w:t xml:space="preserve">Accidental input of prohibited data types into any AI tool</w:t>
      </w:r>
    </w:p>
    <w:p>
      <w:pPr>
        <w:pStyle w:val="ListParagraph"/>
        <w:numPr>
          <w:ilvl w:val="0"/>
          <w:numId w:val="2"/>
        </w:numPr>
      </w:pPr>
      <w:r>
        <w:t xml:space="preserve">Discovery of shadow AI tools being used with organisational data</w:t>
      </w:r>
    </w:p>
    <w:p>
      <w:pPr>
        <w:pStyle w:val="ListParagraph"/>
        <w:numPr>
          <w:ilvl w:val="0"/>
          <w:numId w:val="2"/>
        </w:numPr>
      </w:pPr>
      <w:r>
        <w:t xml:space="preserve">AI system producing outputs containing sensitive data not provided by the user</w:t>
      </w:r>
    </w:p>
    <w:p>
      <w:pPr>
        <w:pStyle w:val="ListParagraph"/>
        <w:numPr>
          <w:ilvl w:val="0"/>
          <w:numId w:val="2"/>
        </w:numPr>
      </w:pPr>
      <w:r>
        <w:t xml:space="preserve">Suspected prompt injection or adversarial manipulation of an AI system</w:t>
      </w:r>
    </w:p>
    <w:p>
      <w:pPr>
        <w:pStyle w:val="ListParagraph"/>
        <w:numPr>
          <w:ilvl w:val="0"/>
          <w:numId w:val="2"/>
        </w:numPr>
      </w:pPr>
      <w:r>
        <w:t xml:space="preserve">AI-generated content published externally that contains errors, bias, or inappropriate material</w:t>
      </w:r>
    </w:p>
    <w:p>
      <w:pPr>
        <w:pStyle w:val="ListParagraph"/>
        <w:numPr>
          <w:ilvl w:val="0"/>
          <w:numId w:val="2"/>
        </w:numPr>
        <w:spacing w:after="120"/>
      </w:pPr>
      <w:r>
        <w:t xml:space="preserve">Any unauthorised access to organisational AI accounts or API keys</w:t>
      </w:r>
    </w:p>
    <w:p>
      <w:pPr>
        <w:spacing w:before="120" w:after="80"/>
      </w:pPr>
      <w:r>
        <w:rPr>
          <w:rFonts w:ascii="Arial" w:cs="Arial" w:eastAsia="Arial" w:hAnsi="Arial"/>
          <w:sz w:val="20"/>
          <w:szCs w:val="20"/>
        </w:rPr>
        <w:t xml:space="preserve">Reports will be triaged per the Security Incident Management Process [PRC-004] and may trigger a data breach notification assessment.</w:t>
      </w:r>
    </w:p>
    <w:p>
      <w:pPr>
        <w:pStyle w:val="Heading1"/>
      </w:pPr>
      <w:r>
        <w:t xml:space="preserve">11. Training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c>
          <w:tcPr>
            <w:tcW w:type="dxa" w:w="26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Audience</w:t>
            </w:r>
          </w:p>
        </w:tc>
        <w:tc>
          <w:tcPr>
            <w:tcW w:type="dxa" w:w="340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Training</w:t>
            </w:r>
          </w:p>
        </w:tc>
        <w:tc>
          <w:tcPr>
            <w:tcW w:type="dxa" w:w="336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Frequency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All personnel</w:t>
            </w:r>
          </w:p>
        </w:tc>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 Acceptable Use Awareness: data handling, prohibited uses, incident reporting</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30 days of hire; annually thereafter</w:t>
            </w:r>
          </w:p>
        </w:tc>
      </w:tr>
      <w:tr>
        <w:tc>
          <w:tcPr>
            <w:tcW w:type="dxa" w:w="26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Tier 2 tool users</w:t>
            </w:r>
          </w:p>
        </w:tc>
        <w:tc>
          <w:tcPr>
            <w:tcW w:type="dxa" w:w="34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Tool-specific training: approved uses, data restrictions, security configuration</w:t>
            </w:r>
          </w:p>
        </w:tc>
        <w:tc>
          <w:tcPr>
            <w:tcW w:type="dxa" w:w="33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Before first use; when tool updates change functionality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Developers</w:t>
            </w:r>
          </w:p>
        </w:tc>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Secure AI development: prompt injection prevention, code review for AI outputs, supply chain risks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Annually; when new AI development tools are adopted</w:t>
            </w:r>
          </w:p>
        </w:tc>
      </w:tr>
      <w:tr>
        <w:tc>
          <w:tcPr>
            <w:tcW w:type="dxa" w:w="26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IT Security team</w:t>
            </w:r>
          </w:p>
        </w:tc>
        <w:tc>
          <w:tcPr>
            <w:tcW w:type="dxa" w:w="340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AI threat landscape: adversarial AI, model poisoning, AI-specific incident response</w:t>
            </w:r>
          </w:p>
        </w:tc>
        <w:tc>
          <w:tcPr>
            <w:tcW w:type="dxa" w:w="336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Quarterly briefings</w:t>
            </w:r>
          </w:p>
        </w:tc>
      </w:tr>
    </w:tbl>
    <w:p>
      <w:pPr>
        <w:pStyle w:val="Heading1"/>
      </w:pPr>
      <w:r>
        <w:t xml:space="preserve">12. Compliance and Enforcement</w:t>
      </w:r>
    </w:p>
    <w:p>
      <w:pPr>
        <w:spacing w:before="120" w:after="80"/>
      </w:pPr>
      <w:r>
        <w:rPr>
          <w:rFonts w:ascii="Arial" w:cs="Arial" w:eastAsia="Arial" w:hAnsi="Arial"/>
          <w:sz w:val="20"/>
          <w:szCs w:val="20"/>
        </w:rPr>
        <w:t xml:space="preserve">Violations of this policy may result in:</w:t>
      </w:r>
    </w:p>
    <w:p>
      <w:pPr>
        <w:pStyle w:val="ListParagraph"/>
        <w:numPr>
          <w:ilvl w:val="0"/>
          <w:numId w:val="2"/>
        </w:numPr>
      </w:pPr>
      <w:r>
        <w:t xml:space="preserve">Revocation of AI tool access</w:t>
      </w:r>
    </w:p>
    <w:p>
      <w:pPr>
        <w:pStyle w:val="ListParagraph"/>
        <w:numPr>
          <w:ilvl w:val="0"/>
          <w:numId w:val="2"/>
        </w:numPr>
      </w:pPr>
      <w:r>
        <w:t xml:space="preserve">Mandatory retraining</w:t>
      </w:r>
    </w:p>
    <w:p>
      <w:pPr>
        <w:pStyle w:val="ListParagraph"/>
        <w:numPr>
          <w:ilvl w:val="0"/>
          <w:numId w:val="2"/>
        </w:numPr>
      </w:pPr>
      <w:r>
        <w:t xml:space="preserve">Formal disciplinary action up to and including termination</w:t>
      </w:r>
    </w:p>
    <w:p>
      <w:pPr>
        <w:pStyle w:val="ListParagraph"/>
        <w:numPr>
          <w:ilvl w:val="0"/>
          <w:numId w:val="2"/>
        </w:numPr>
        <w:spacing w:after="120"/>
      </w:pPr>
      <w:r>
        <w:t xml:space="preserve">Referral to law enforcement where data protection or intellectual property laws have been breached</w:t>
      </w:r>
    </w:p>
    <w:p>
      <w:pPr>
        <w:spacing w:before="120" w:after="80"/>
      </w:pPr>
      <w:r>
        <w:rPr>
          <w:rFonts w:ascii="Arial" w:cs="Arial" w:eastAsia="Arial" w:hAnsi="Arial"/>
          <w:sz w:val="20"/>
          <w:szCs w:val="20"/>
        </w:rPr>
        <w:t xml:space="preserve">IT Security will conduct periodic audits of AI tool usage, including review of provisioned accounts, data logs, and compliance with approved tool lists.</w:t>
      </w:r>
    </w:p>
    <w:p>
      <w:pPr>
        <w:pStyle w:val="Heading1"/>
      </w:pPr>
      <w:r>
        <w:t xml:space="preserve">13. Exceptions</w:t>
      </w:r>
    </w:p>
    <w:p>
      <w:pPr>
        <w:spacing w:before="120" w:after="80"/>
      </w:pPr>
      <w:r>
        <w:rPr>
          <w:rFonts w:ascii="Arial" w:cs="Arial" w:eastAsia="Arial" w:hAnsi="Arial"/>
          <w:sz w:val="20"/>
          <w:szCs w:val="20"/>
        </w:rPr>
        <w:t xml:space="preserve">Exceptions to this policy must be requested in writing to the [CISO / Policy Owner] and must include: the specific policy requirement to be waived, the business justification, compensating controls that will be implemented, the duration of the exception, and risk acceptance by the requesting department head.</w:t>
      </w:r>
    </w:p>
    <w:p>
      <w:pPr>
        <w:spacing w:before="120" w:after="80"/>
      </w:pPr>
      <w:r>
        <w:rPr>
          <w:rFonts w:ascii="Arial" w:cs="Arial" w:eastAsia="Arial" w:hAnsi="Arial"/>
          <w:sz w:val="20"/>
          <w:szCs w:val="20"/>
        </w:rPr>
        <w:t xml:space="preserve">Approved exceptions are documented in the Security Exception Register [FRM-009] and reviewed at each policy review cycle.</w:t>
      </w:r>
    </w:p>
    <w:p>
      <w:pPr>
        <w:pStyle w:val="Heading1"/>
      </w:pPr>
      <w:r>
        <w:t xml:space="preserve">14. Review and Maintenance</w:t>
      </w:r>
    </w:p>
    <w:p>
      <w:pPr>
        <w:spacing w:before="120" w:after="80"/>
      </w:pPr>
      <w:r>
        <w:rPr>
          <w:rFonts w:ascii="Arial" w:cs="Arial" w:eastAsia="Arial" w:hAnsi="Arial"/>
          <w:sz w:val="20"/>
          <w:szCs w:val="20"/>
        </w:rPr>
        <w:t xml:space="preserve">This policy will be reviewed every [6 months] or when any of the following occur:</w:t>
      </w:r>
    </w:p>
    <w:p>
      <w:pPr>
        <w:pStyle w:val="ListParagraph"/>
        <w:numPr>
          <w:ilvl w:val="0"/>
          <w:numId w:val="2"/>
        </w:numPr>
      </w:pPr>
      <w:r>
        <w:t xml:space="preserve">Significant AI-related security incident</w:t>
      </w:r>
    </w:p>
    <w:p>
      <w:pPr>
        <w:pStyle w:val="ListParagraph"/>
        <w:numPr>
          <w:ilvl w:val="0"/>
          <w:numId w:val="2"/>
        </w:numPr>
      </w:pPr>
      <w:r>
        <w:t xml:space="preserve">New AI regulation or compliance requirement (e.g., EU AI Act enforcement dates)</w:t>
      </w:r>
    </w:p>
    <w:p>
      <w:pPr>
        <w:pStyle w:val="ListParagraph"/>
        <w:numPr>
          <w:ilvl w:val="0"/>
          <w:numId w:val="2"/>
        </w:numPr>
      </w:pPr>
      <w:r>
        <w:t xml:space="preserve">Material change in organisational AI adoption or strategy</w:t>
      </w:r>
    </w:p>
    <w:p>
      <w:pPr>
        <w:pStyle w:val="ListParagraph"/>
        <w:numPr>
          <w:ilvl w:val="0"/>
          <w:numId w:val="2"/>
        </w:numPr>
      </w:pPr>
      <w:r>
        <w:t xml:space="preserve">New AI threat vectors identified (e.g., OWASP LLM Top 10 updates)</w:t>
      </w:r>
    </w:p>
    <w:p>
      <w:pPr>
        <w:pStyle w:val="ListParagraph"/>
        <w:numPr>
          <w:ilvl w:val="0"/>
          <w:numId w:val="2"/>
        </w:numPr>
        <w:spacing w:after="120"/>
      </w:pPr>
      <w:r>
        <w:t xml:space="preserve">Major vendor changes to data handling or training practices</w:t>
      </w:r>
    </w:p>
    <w:p>
      <w:pPr>
        <w:spacing w:before="400"/>
      </w:pPr>
    </w:p>
    <w:p>
      <w:pPr>
        <w:pStyle w:val="Heading1"/>
      </w:pPr>
      <w:r>
        <w:t xml:space="preserve">Document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Role</w:t>
            </w:r>
          </w:p>
        </w:tc>
        <w:tc>
          <w:tcPr>
            <w:tcW w:type="dxa" w:w="234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Name</w:t>
            </w:r>
          </w:p>
        </w:tc>
        <w:tc>
          <w:tcPr>
            <w:tcW w:type="dxa" w:w="234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Signature</w:t>
            </w:r>
          </w:p>
        </w:tc>
        <w:tc>
          <w:tcPr>
            <w:tcW w:type="dxa" w:w="2340"/>
            <w:tcBorders>
              <w:top w:val="single" w:color="CCCCCC" w:sz="1"/>
              <w:left w:val="single" w:color="CCCCCC" w:sz="1"/>
              <w:bottom w:val="single" w:color="CCCCCC" w:sz="1"/>
              <w:right w:val="single" w:color="CCCCCC" w:sz="1"/>
            </w:tcBorders>
            <w:shd w:fill="1A2332" w:val="clear"/>
            <w:tcMar>
              <w:top w:type="dxa" w:w="80"/>
              <w:left w:type="dxa" w:w="120"/>
              <w:bottom w:type="dxa" w:w="80"/>
              <w:right w:type="dxa" w:w="120"/>
            </w:tcMar>
            <w:vAlign w:val="center"/>
          </w:tcPr>
          <w:p>
            <w:r>
              <w:rPr>
                <w:rFonts w:ascii="Arial" w:cs="Arial" w:eastAsia="Arial" w:hAnsi="Arial"/>
                <w:b/>
                <w:bCs/>
                <w:color w:val="FFFFFF"/>
                <w:sz w:val="20"/>
                <w:szCs w:val="20"/>
              </w:rPr>
              <w:t xml:space="preserve">Date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Policy Owner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[Name]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b/>
                <w:bCs/>
                <w:sz w:val="20"/>
                <w:szCs w:val="20"/>
              </w:rPr>
              <w:t xml:space="preserve">CISO / CTO</w:t>
            </w:r>
          </w:p>
        </w:tc>
        <w:tc>
          <w:tcPr>
            <w:tcW w:type="dxa" w:w="234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[Name]</w:t>
            </w:r>
          </w:p>
        </w:tc>
        <w:tc>
          <w:tcPr>
            <w:tcW w:type="dxa" w:w="234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0F7FA" w:val="clear"/>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CEO / Board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[Name]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bl>
    <w:p>
      <w:pPr>
        <w:spacing w:before="400"/>
      </w:pPr>
    </w:p>
    <w:p>
      <w:pPr>
        <w:spacing w:before="200"/>
      </w:pPr>
      <w:r>
        <w:rPr>
          <w:rFonts w:ascii="Arial" w:cs="Arial" w:eastAsia="Arial" w:hAnsi="Arial"/>
          <w:b/>
          <w:bCs/>
          <w:color w:val="0F7B8A"/>
          <w:sz w:val="20"/>
          <w:szCs w:val="20"/>
        </w:rPr>
        <w:t xml:space="preserve">FREE TEMPLATE PROVIDED BY RIDGELINE CYBER DEFENCE</w:t>
      </w:r>
    </w:p>
    <w:p>
      <w:pPr>
        <w:spacing w:before="120" w:after="80"/>
      </w:pPr>
      <w:r>
        <w:rPr>
          <w:rFonts w:ascii="Arial" w:cs="Arial" w:eastAsia="Arial" w:hAnsi="Arial"/>
          <w:sz w:val="20"/>
          <w:szCs w:val="20"/>
        </w:rPr>
        <w:t xml:space="preserve">This is a customisable template only. It is not legal advice. Organisations should seek qualified professional advice for their specific circumstances and jurisdiction.</w:t>
      </w:r>
    </w:p>
    <w:p>
      <w:pPr>
        <w:spacing w:before="120" w:after="80"/>
      </w:pPr>
      <w:r>
        <w:rPr>
          <w:rFonts w:ascii="Arial" w:cs="Arial" w:eastAsia="Arial" w:hAnsi="Arial"/>
          <w:sz w:val="20"/>
          <w:szCs w:val="20"/>
        </w:rPr>
        <w:t xml:space="preserve">For the complete AI Security Suite (23 documents including risk assessments, system inventories, incident response procedures, and board reporting templates mapped to NIST AI RMF, OWASP LLM Top 10 2025, and EU AI Act), visit: ridgelinecyber.com/products/ai-security-suite/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AI Acceptable Use Policy  |  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0F7B8A"/>
        <w:sz w:val="14"/>
        <w:szCs w:val="14"/>
      </w:rPr>
      <w:t xml:space="preserve">
FREE TEMPLATE from RidgeLine Cyber Defence  |  ridgelinecyber.com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6"/>
        <w:szCs w:val="16"/>
      </w:rPr>
      <w:t xml:space="preserve">[Organisation Name]</w:t>
    </w:r>
    <w:r>
      <w:rPr>
        <w:rFonts w:ascii="Arial" w:cs="Arial" w:eastAsia="Arial" w:hAnsi="Arial"/>
        <w:color w:val="666666"/>
        <w:sz w:val="16"/>
        <w:szCs w:val="16"/>
      </w:rPr>
      <w:t xml:space="preserve">  |  AI Acceptable Use Policy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2332"/>
      <w:sz w:val="28"/>
      <w:szCs w:val="28"/>
    </w:rPr>
  </w:style>
  <w:style w:type="paragraph" w:styleId="Heading2">
    <w:name w:val="Heading 2"/>
    <w:basedOn w:val="Normal"/>
    <w:next w:val="Normal"/>
    <w:qFormat/>
    <w:pPr>
      <w:spacing w:before="240" w:after="160"/>
      <w:outlineLvl w:val="1"/>
    </w:pPr>
    <w:rPr>
      <w:rFonts w:ascii="Arial" w:cs="Arial" w:eastAsia="Arial" w:hAnsi="Arial"/>
      <w:b/>
      <w:bCs/>
      <w:color w:val="0F7B8A"/>
      <w:sz w:val="24"/>
      <w:szCs w:val="24"/>
    </w:rPr>
  </w:style>
  <w:style w:type="paragraph" w:styleId="Heading3">
    <w:name w:val="Heading 3"/>
    <w:basedOn w:val="Normal"/>
    <w:next w:val="Normal"/>
    <w:qFormat/>
    <w:pPr>
      <w:spacing w:before="200" w:after="120"/>
      <w:outlineLvl w:val="2"/>
    </w:pPr>
    <w:rPr>
      <w:rFonts w:ascii="Arial" w:cs="Arial" w:eastAsia="Arial" w:hAnsi="Arial"/>
      <w:b/>
      <w:bCs/>
      <w:color w:val="1A233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2026-02-11T20:24:54.037Z</dcterms:created>
  <dcterms:modified xsi:type="dcterms:W3CDTF">2026-02-11T20:24:54.038Z</dcterms:modified>
</cp:coreProperties>
</file>

<file path=docProps/custom.xml><?xml version="1.0" encoding="utf-8"?>
<Properties xmlns="http://schemas.openxmlformats.org/officeDocument/2006/custom-properties" xmlns:vt="http://schemas.openxmlformats.org/officeDocument/2006/docPropsVTypes"/>
</file>